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9F0E3" w14:textId="734988B3" w:rsidR="00FE711F" w:rsidRDefault="00FE711F" w:rsidP="00FE71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7C1DC69" wp14:editId="71C3492B">
            <wp:extent cx="802428" cy="802428"/>
            <wp:effectExtent l="0" t="0" r="1079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28" cy="8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17A862B" wp14:editId="4CE7E3B2">
            <wp:extent cx="1744890" cy="459528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26" cy="4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67D" w:rsidRPr="00D33D89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 wp14:anchorId="389CB3EF" wp14:editId="1F5BC382">
            <wp:extent cx="1084616" cy="828252"/>
            <wp:effectExtent l="0" t="0" r="7620" b="10160"/>
            <wp:docPr id="4" name="Immagine 3" descr="Adaptive Business Model e Digital Trasformation - Strateg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ptive Business Model e Digital Trasformation - Strategh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18" cy="8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67D" w:rsidRPr="001642D3">
        <w:rPr>
          <w:noProof/>
          <w:lang w:eastAsia="it-IT"/>
        </w:rPr>
        <w:drawing>
          <wp:inline distT="0" distB="0" distL="0" distR="0" wp14:anchorId="3702F41B" wp14:editId="25E882B8">
            <wp:extent cx="1143423" cy="780733"/>
            <wp:effectExtent l="0" t="0" r="0" b="6985"/>
            <wp:docPr id="13" name="Immagine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mv="urn:schemas-microsoft-com:mac:vml" xmlns:mo="http://schemas.microsoft.com/office/mac/office/2008/main" id="{2FF6E95B-4CE5-4939-B73D-1D6C9D8FB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mv="urn:schemas-microsoft-com:mac:vml" xmlns:mo="http://schemas.microsoft.com/office/mac/office/2008/main" id="{2FF6E95B-4CE5-4939-B73D-1D6C9D8FB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86"/>
                    <a:stretch/>
                  </pic:blipFill>
                  <pic:spPr>
                    <a:xfrm>
                      <a:off x="0" y="0"/>
                      <a:ext cx="1143804" cy="78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D433C" w14:textId="77777777" w:rsidR="002A7721" w:rsidRDefault="002A7721" w:rsidP="00AE6C76">
      <w:pPr>
        <w:rPr>
          <w:rFonts w:ascii="Times New Roman" w:hAnsi="Times New Roman" w:cs="Times New Roman"/>
          <w:b/>
          <w:sz w:val="24"/>
          <w:szCs w:val="24"/>
        </w:rPr>
      </w:pPr>
    </w:p>
    <w:p w14:paraId="22E46CE1" w14:textId="77777777" w:rsidR="0025658C" w:rsidRDefault="0025658C" w:rsidP="00AE6C76">
      <w:pPr>
        <w:rPr>
          <w:b/>
          <w:bCs/>
          <w:sz w:val="26"/>
          <w:szCs w:val="26"/>
        </w:rPr>
      </w:pPr>
      <w:r w:rsidRPr="00F973B3">
        <w:rPr>
          <w:b/>
          <w:bCs/>
          <w:sz w:val="26"/>
          <w:szCs w:val="26"/>
        </w:rPr>
        <w:t>“PROGETTI DI GRUPPI DI RICERCA 2020”</w:t>
      </w:r>
    </w:p>
    <w:p w14:paraId="7170FB80" w14:textId="0BF51F1B" w:rsidR="00B5075A" w:rsidRDefault="00B5075A" w:rsidP="00AE6C76">
      <w:pPr>
        <w:rPr>
          <w:rFonts w:ascii="Calibri" w:hAnsi="Calibri" w:cs="Calibri"/>
          <w:i/>
        </w:rPr>
      </w:pPr>
      <w:r w:rsidRPr="00E060E9">
        <w:rPr>
          <w:rFonts w:ascii="Calibri" w:hAnsi="Calibri" w:cs="Calibri"/>
          <w:b/>
        </w:rPr>
        <w:t>TITOLO</w:t>
      </w:r>
      <w:r w:rsidR="00107181" w:rsidRPr="00E060E9">
        <w:rPr>
          <w:rFonts w:ascii="Calibri" w:hAnsi="Calibri" w:cs="Calibri"/>
          <w:b/>
        </w:rPr>
        <w:t>:</w:t>
      </w:r>
      <w:r w:rsidR="00AE6C76" w:rsidRPr="00E060E9">
        <w:rPr>
          <w:rFonts w:ascii="Calibri" w:hAnsi="Calibri" w:cs="Calibri"/>
        </w:rPr>
        <w:t xml:space="preserve"> </w:t>
      </w:r>
      <w:r w:rsidR="00312882" w:rsidRPr="00E060E9">
        <w:rPr>
          <w:rFonts w:ascii="Calibri" w:hAnsi="Calibri" w:cs="Calibri"/>
        </w:rPr>
        <w:t xml:space="preserve"> </w:t>
      </w:r>
      <w:r w:rsidR="0025658C">
        <w:rPr>
          <w:rFonts w:ascii="Calibri" w:hAnsi="Calibri" w:cs="Calibri"/>
        </w:rPr>
        <w:t>“</w:t>
      </w:r>
      <w:r w:rsidR="00AE6C76" w:rsidRPr="0025658C">
        <w:rPr>
          <w:rFonts w:ascii="Calibri" w:hAnsi="Calibri" w:cs="Calibri"/>
          <w:i/>
        </w:rPr>
        <w:t>Stimolazione dei circuiti cerebrali compensatori per il mantenimento della memoria in modelli preclinici della malattia di Alzheimer</w:t>
      </w:r>
      <w:r w:rsidR="0025658C">
        <w:rPr>
          <w:rFonts w:ascii="Calibri" w:hAnsi="Calibri" w:cs="Calibri"/>
          <w:i/>
        </w:rPr>
        <w:t>”</w:t>
      </w:r>
    </w:p>
    <w:p w14:paraId="4C8887BC" w14:textId="3FF4C6D9" w:rsidR="0025658C" w:rsidRPr="0025658C" w:rsidRDefault="0025658C" w:rsidP="00AE6C76">
      <w:pPr>
        <w:rPr>
          <w:rFonts w:ascii="Calibri" w:hAnsi="Calibri" w:cs="Calibri"/>
          <w:b/>
        </w:rPr>
      </w:pPr>
      <w:r w:rsidRPr="0025658C">
        <w:rPr>
          <w:rFonts w:ascii="Calibri" w:hAnsi="Calibri" w:cs="Calibri"/>
          <w:b/>
        </w:rPr>
        <w:t>ACRONIMO</w:t>
      </w:r>
      <w:r>
        <w:rPr>
          <w:rFonts w:ascii="Calibri" w:hAnsi="Calibri" w:cs="Calibri"/>
          <w:b/>
        </w:rPr>
        <w:t xml:space="preserve">: </w:t>
      </w:r>
      <w:proofErr w:type="spellStart"/>
      <w:r w:rsidRPr="0025658C">
        <w:rPr>
          <w:rFonts w:ascii="Calibri" w:hAnsi="Calibri" w:cs="Calibri"/>
        </w:rPr>
        <w:t>NeuroComp</w:t>
      </w:r>
      <w:proofErr w:type="spellEnd"/>
    </w:p>
    <w:p w14:paraId="0A436EDB" w14:textId="77777777" w:rsidR="008A7F4C" w:rsidRPr="00E060E9" w:rsidRDefault="008A7F4C" w:rsidP="008A7F4C">
      <w:pPr>
        <w:rPr>
          <w:rFonts w:ascii="Calibri" w:hAnsi="Calibri" w:cs="Calibri"/>
          <w:b/>
        </w:rPr>
      </w:pPr>
      <w:r w:rsidRPr="00E060E9">
        <w:rPr>
          <w:rFonts w:ascii="Calibri" w:hAnsi="Calibri" w:cs="Calibri"/>
          <w:b/>
        </w:rPr>
        <w:t xml:space="preserve">PAROLE CHIAVE: </w:t>
      </w:r>
      <w:r w:rsidRPr="00E060E9">
        <w:rPr>
          <w:rFonts w:ascii="Calibri" w:eastAsia="Calibri" w:hAnsi="Calibri" w:cs="Calibri"/>
          <w:color w:val="202124"/>
        </w:rPr>
        <w:t>Malattia di Alzheimer, compensazione neurale, stimolazione cerebrale</w:t>
      </w:r>
      <w:r w:rsidRPr="00E060E9">
        <w:rPr>
          <w:rFonts w:ascii="Calibri" w:hAnsi="Calibri" w:cs="Calibri"/>
          <w:b/>
        </w:rPr>
        <w:t xml:space="preserve"> </w:t>
      </w:r>
    </w:p>
    <w:p w14:paraId="6570E7E9" w14:textId="58006BE6" w:rsidR="008A7F4C" w:rsidRPr="00E060E9" w:rsidRDefault="008A7F4C" w:rsidP="008A7F4C">
      <w:pPr>
        <w:rPr>
          <w:rFonts w:ascii="Calibri" w:hAnsi="Calibri" w:cs="Calibri"/>
        </w:rPr>
      </w:pPr>
      <w:r w:rsidRPr="00E060E9">
        <w:rPr>
          <w:rFonts w:ascii="Calibri" w:hAnsi="Calibri" w:cs="Calibri"/>
          <w:b/>
        </w:rPr>
        <w:t>DATA INIZIO E FINE DEL PROGETTO:</w:t>
      </w:r>
      <w:r w:rsidRPr="00E060E9">
        <w:rPr>
          <w:rFonts w:ascii="Calibri" w:hAnsi="Calibri" w:cs="Calibri"/>
        </w:rPr>
        <w:t>15/04/2021-15/04/2023</w:t>
      </w:r>
    </w:p>
    <w:p w14:paraId="5D31BF72" w14:textId="77777777" w:rsidR="000074FB" w:rsidRPr="00E060E9" w:rsidRDefault="000074FB" w:rsidP="000074FB">
      <w:pPr>
        <w:spacing w:after="0"/>
        <w:rPr>
          <w:rFonts w:ascii="Calibri" w:hAnsi="Calibri" w:cs="Calibri"/>
        </w:rPr>
      </w:pPr>
      <w:r w:rsidRPr="00E060E9">
        <w:rPr>
          <w:rFonts w:ascii="Calibri" w:hAnsi="Calibri" w:cs="Calibri"/>
          <w:b/>
        </w:rPr>
        <w:t>Finanziamento totale:</w:t>
      </w:r>
      <w:r w:rsidRPr="00E060E9">
        <w:rPr>
          <w:rFonts w:ascii="Calibri" w:hAnsi="Calibri" w:cs="Calibri"/>
        </w:rPr>
        <w:t xml:space="preserve"> 149.205,00 €</w:t>
      </w:r>
    </w:p>
    <w:p w14:paraId="28946983" w14:textId="77777777" w:rsidR="000074FB" w:rsidRPr="00E060E9" w:rsidRDefault="000074FB" w:rsidP="008A7F4C">
      <w:pPr>
        <w:rPr>
          <w:rFonts w:ascii="Calibri" w:hAnsi="Calibri" w:cs="Calibri"/>
          <w:b/>
        </w:rPr>
      </w:pPr>
    </w:p>
    <w:p w14:paraId="3364BDCC" w14:textId="77255F65" w:rsidR="000074FB" w:rsidRPr="00E060E9" w:rsidRDefault="0025658C" w:rsidP="000074FB">
      <w:pPr>
        <w:jc w:val="both"/>
        <w:rPr>
          <w:rFonts w:ascii="Calibri" w:hAnsi="Calibri" w:cs="Calibri"/>
        </w:rPr>
      </w:pPr>
      <w:r w:rsidRPr="0025658C">
        <w:rPr>
          <w:rFonts w:ascii="Calibri" w:hAnsi="Calibri" w:cs="Calibri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2D17046" wp14:editId="051148DA">
            <wp:simplePos x="0" y="0"/>
            <wp:positionH relativeFrom="margin">
              <wp:posOffset>-114300</wp:posOffset>
            </wp:positionH>
            <wp:positionV relativeFrom="margin">
              <wp:posOffset>3086100</wp:posOffset>
            </wp:positionV>
            <wp:extent cx="808990" cy="808990"/>
            <wp:effectExtent l="0" t="0" r="381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IENZ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4FB" w:rsidRPr="00E060E9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DR</w:t>
      </w:r>
      <w:r w:rsidR="000074FB" w:rsidRPr="00E060E9">
        <w:rPr>
          <w:rFonts w:ascii="Calibri" w:hAnsi="Calibri" w:cs="Calibri"/>
          <w:b/>
        </w:rPr>
        <w:t xml:space="preserve"> Richiedente: </w:t>
      </w:r>
      <w:r w:rsidR="000074FB" w:rsidRPr="00E060E9">
        <w:rPr>
          <w:rFonts w:ascii="Calibri" w:hAnsi="Calibri" w:cs="Calibri"/>
        </w:rPr>
        <w:t xml:space="preserve">Università La Sapienza  Dipartimento di Biologia e Biotecnologie BBCD  </w:t>
      </w:r>
    </w:p>
    <w:p w14:paraId="3FA3A05E" w14:textId="3481EB1C" w:rsidR="000074FB" w:rsidRPr="00E060E9" w:rsidRDefault="000074FB" w:rsidP="008A7F4C">
      <w:pPr>
        <w:rPr>
          <w:rFonts w:ascii="Calibri" w:hAnsi="Calibri" w:cs="Calibri"/>
          <w:b/>
        </w:rPr>
      </w:pPr>
      <w:r w:rsidRPr="00E060E9">
        <w:rPr>
          <w:rFonts w:ascii="Calibri" w:hAnsi="Calibri" w:cs="Calibri"/>
          <w:b/>
        </w:rPr>
        <w:t xml:space="preserve">Responsabile scientifico : </w:t>
      </w:r>
      <w:r w:rsidRPr="00E060E9">
        <w:rPr>
          <w:rFonts w:ascii="Calibri" w:hAnsi="Calibri" w:cs="Calibri"/>
        </w:rPr>
        <w:t>Prof. Andre</w:t>
      </w:r>
      <w:r w:rsidR="00654222" w:rsidRPr="00E060E9">
        <w:rPr>
          <w:rFonts w:ascii="Calibri" w:hAnsi="Calibri" w:cs="Calibri"/>
        </w:rPr>
        <w:t>a</w:t>
      </w:r>
      <w:r w:rsidRPr="00E060E9">
        <w:rPr>
          <w:rFonts w:ascii="Calibri" w:hAnsi="Calibri" w:cs="Calibri"/>
        </w:rPr>
        <w:t xml:space="preserve"> Mele</w:t>
      </w:r>
    </w:p>
    <w:p w14:paraId="6FA3524A" w14:textId="1A91341D" w:rsidR="000074FB" w:rsidRPr="00E060E9" w:rsidRDefault="0025658C" w:rsidP="008A7F4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</w:t>
      </w:r>
      <w:r w:rsidR="000074FB" w:rsidRPr="00E060E9">
        <w:rPr>
          <w:rFonts w:ascii="Calibri" w:hAnsi="Calibri" w:cs="Calibri"/>
          <w:b/>
        </w:rPr>
        <w:t xml:space="preserve">Finanziamento assegnato: </w:t>
      </w:r>
      <w:r w:rsidRPr="0025658C">
        <w:rPr>
          <w:rFonts w:ascii="Calibri" w:hAnsi="Calibri" w:cs="Calibri"/>
        </w:rPr>
        <w:t>76.398,00</w:t>
      </w:r>
      <w:r>
        <w:rPr>
          <w:rFonts w:ascii="Calibri" w:hAnsi="Calibri" w:cs="Calibri"/>
        </w:rPr>
        <w:t xml:space="preserve"> </w:t>
      </w:r>
      <w:r w:rsidRPr="0025658C">
        <w:rPr>
          <w:rFonts w:ascii="Calibri" w:hAnsi="Calibri" w:cs="Calibri"/>
        </w:rPr>
        <w:t>€</w:t>
      </w:r>
    </w:p>
    <w:p w14:paraId="16480305" w14:textId="0C7E399E" w:rsidR="000074FB" w:rsidRPr="00E060E9" w:rsidRDefault="000074FB" w:rsidP="008A7F4C">
      <w:pPr>
        <w:rPr>
          <w:rFonts w:ascii="Calibri" w:hAnsi="Calibri" w:cs="Calibri"/>
          <w:b/>
        </w:rPr>
      </w:pPr>
    </w:p>
    <w:p w14:paraId="7C81A3AA" w14:textId="1FCC14E0" w:rsidR="000074FB" w:rsidRPr="00E060E9" w:rsidRDefault="0025658C" w:rsidP="0025658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DFDF072" wp14:editId="37966295">
            <wp:simplePos x="0" y="0"/>
            <wp:positionH relativeFrom="margin">
              <wp:posOffset>-114300</wp:posOffset>
            </wp:positionH>
            <wp:positionV relativeFrom="margin">
              <wp:posOffset>4229100</wp:posOffset>
            </wp:positionV>
            <wp:extent cx="749935" cy="720725"/>
            <wp:effectExtent l="0" t="0" r="1206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4FB" w:rsidRPr="00E060E9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DR</w:t>
      </w:r>
      <w:r w:rsidR="000074FB" w:rsidRPr="00E060E9">
        <w:rPr>
          <w:rFonts w:ascii="Calibri" w:hAnsi="Calibri" w:cs="Calibri"/>
          <w:b/>
        </w:rPr>
        <w:t xml:space="preserve"> Mandante: </w:t>
      </w:r>
      <w:r w:rsidR="000074FB" w:rsidRPr="00E56E33">
        <w:rPr>
          <w:rFonts w:ascii="Calibri" w:hAnsi="Calibri" w:cs="Calibri"/>
        </w:rPr>
        <w:t>Istituto di Farmacologia Traslazionale CNR</w:t>
      </w:r>
    </w:p>
    <w:p w14:paraId="377DCAAF" w14:textId="14709E15" w:rsidR="008A7F4C" w:rsidRPr="00E060E9" w:rsidRDefault="008A7F4C" w:rsidP="0025658C">
      <w:pPr>
        <w:rPr>
          <w:rFonts w:ascii="Calibri" w:hAnsi="Calibri" w:cs="Calibri"/>
          <w:b/>
        </w:rPr>
      </w:pPr>
      <w:r w:rsidRPr="00E060E9">
        <w:rPr>
          <w:rFonts w:ascii="Calibri" w:hAnsi="Calibri" w:cs="Calibri"/>
          <w:b/>
        </w:rPr>
        <w:t>Responsabile IFT</w:t>
      </w:r>
      <w:r w:rsidRPr="00E060E9">
        <w:rPr>
          <w:rFonts w:ascii="Calibri" w:hAnsi="Calibri" w:cs="Calibri"/>
        </w:rPr>
        <w:t>: Dr. Annabella Pignataro</w:t>
      </w:r>
    </w:p>
    <w:p w14:paraId="696E078B" w14:textId="4F88F3FB" w:rsidR="008A7F4C" w:rsidRDefault="0025658C" w:rsidP="0025658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</w:t>
      </w:r>
      <w:r w:rsidR="008A7F4C" w:rsidRPr="00E060E9">
        <w:rPr>
          <w:rFonts w:ascii="Calibri" w:hAnsi="Calibri" w:cs="Calibri"/>
          <w:b/>
        </w:rPr>
        <w:t>Finanziamento a favore dell’IFT:</w:t>
      </w:r>
      <w:r w:rsidR="008A7F4C" w:rsidRPr="00E060E9">
        <w:rPr>
          <w:rFonts w:ascii="Calibri" w:hAnsi="Calibri" w:cs="Calibri"/>
        </w:rPr>
        <w:t xml:space="preserve"> 72.807,00 €</w:t>
      </w:r>
      <w:bookmarkStart w:id="0" w:name="_GoBack"/>
      <w:bookmarkEnd w:id="0"/>
    </w:p>
    <w:p w14:paraId="67466E14" w14:textId="77777777" w:rsidR="00FC4ED4" w:rsidRPr="00E060E9" w:rsidRDefault="00FC4ED4" w:rsidP="006348BD">
      <w:pPr>
        <w:ind w:left="708" w:firstLine="708"/>
        <w:rPr>
          <w:rFonts w:ascii="Calibri" w:hAnsi="Calibri" w:cs="Calibri"/>
        </w:rPr>
      </w:pPr>
    </w:p>
    <w:p w14:paraId="3468FBCD" w14:textId="719A35D2" w:rsidR="00B5075A" w:rsidRPr="00A150DD" w:rsidRDefault="008A7F4C" w:rsidP="00B5075A">
      <w:pPr>
        <w:rPr>
          <w:rFonts w:ascii="Calibri" w:hAnsi="Calibri" w:cs="Calibri"/>
          <w:b/>
        </w:rPr>
      </w:pPr>
      <w:r w:rsidRPr="00E060E9">
        <w:rPr>
          <w:rFonts w:ascii="Calibri" w:hAnsi="Calibri" w:cs="Calibri"/>
          <w:b/>
        </w:rPr>
        <w:t xml:space="preserve">Personale da reclutare presso l’IFT: </w:t>
      </w:r>
      <w:r w:rsidRPr="00E060E9">
        <w:rPr>
          <w:rFonts w:ascii="Calibri" w:hAnsi="Calibri" w:cs="Calibri"/>
        </w:rPr>
        <w:t>due unità di personale per svolgere l’attività di ricerca.</w:t>
      </w:r>
      <w:r w:rsidRPr="00E060E9">
        <w:rPr>
          <w:rFonts w:ascii="Calibri" w:hAnsi="Calibri" w:cs="Calibri"/>
          <w:b/>
        </w:rPr>
        <w:t xml:space="preserve"> </w:t>
      </w:r>
    </w:p>
    <w:p w14:paraId="5C5DE25D" w14:textId="1C899292" w:rsidR="00B5075A" w:rsidRDefault="00B5075A" w:rsidP="00B5075A">
      <w:pPr>
        <w:rPr>
          <w:rFonts w:ascii="Consolas" w:hAnsi="Consolas"/>
          <w:color w:val="000099"/>
          <w:sz w:val="18"/>
          <w:szCs w:val="18"/>
          <w:shd w:val="clear" w:color="auto" w:fill="EEEEEE"/>
        </w:rPr>
      </w:pPr>
      <w:r w:rsidRPr="00482A9F">
        <w:rPr>
          <w:rFonts w:ascii="Consolas" w:hAnsi="Consolas"/>
          <w:color w:val="000099"/>
          <w:sz w:val="18"/>
          <w:szCs w:val="18"/>
        </w:rPr>
        <w:br/>
      </w:r>
      <w:r w:rsidRPr="00392123">
        <w:rPr>
          <w:rFonts w:cstheme="minorHAnsi"/>
          <w:b/>
          <w:bCs/>
        </w:rPr>
        <w:t>ABSTRACT</w:t>
      </w:r>
      <w:r w:rsidR="00970ADF">
        <w:rPr>
          <w:rFonts w:cstheme="minorHAnsi"/>
          <w:b/>
          <w:bCs/>
        </w:rPr>
        <w:t>:</w:t>
      </w:r>
      <w:r w:rsidR="00392123" w:rsidRPr="00392123">
        <w:t xml:space="preserve"> </w:t>
      </w:r>
    </w:p>
    <w:p w14:paraId="693C9650" w14:textId="1E4B5F73" w:rsidR="00907FE4" w:rsidRPr="000074FB" w:rsidRDefault="00907FE4" w:rsidP="00907FE4">
      <w:pPr>
        <w:pStyle w:val="Normale2"/>
        <w:jc w:val="both"/>
        <w:rPr>
          <w:rFonts w:ascii="Calibri" w:eastAsia="Calibri" w:hAnsi="Calibri" w:cs="Calibri"/>
          <w:lang w:val="it-IT"/>
        </w:rPr>
      </w:pPr>
      <w:r w:rsidRPr="000074FB">
        <w:rPr>
          <w:rFonts w:ascii="Calibri" w:eastAsia="Calibri" w:hAnsi="Calibri" w:cs="Calibri"/>
          <w:lang w:val="it-IT"/>
        </w:rPr>
        <w:t xml:space="preserve">Tra i pazienti affetti da malattie neurodegenerative, alcuni individui mostrano la capacità paradossale di mantenere una memoria intatta attivando reti neurali alternative alle reti neurali canoniche dove si manifestano i primi segni di degenerazione. Questo fenomeno, indicato come “compensazione neurale” è stato a lungo considerato come una prerogativa del cervello umano. </w:t>
      </w:r>
      <w:r w:rsidR="00156D63" w:rsidRPr="000074FB">
        <w:rPr>
          <w:rFonts w:ascii="Calibri" w:eastAsia="Calibri" w:hAnsi="Calibri" w:cs="Calibri"/>
          <w:lang w:val="it-IT"/>
        </w:rPr>
        <w:t>L’unità IFT ha</w:t>
      </w:r>
      <w:r w:rsidRPr="000074FB">
        <w:rPr>
          <w:rFonts w:ascii="Calibri" w:eastAsia="Calibri" w:hAnsi="Calibri" w:cs="Calibri"/>
          <w:lang w:val="it-IT"/>
        </w:rPr>
        <w:t xml:space="preserve"> recentemente fornito le prime evidenze di compensazione neurale in un modello murino della malattia di Alzheimer mostrando che i topi Tg2576 portatori del gene mutato della proteina precursore della proteina amiloide (APP: </w:t>
      </w:r>
      <w:proofErr w:type="spellStart"/>
      <w:r w:rsidRPr="000074FB">
        <w:rPr>
          <w:rFonts w:ascii="Calibri" w:eastAsia="Calibri" w:hAnsi="Calibri" w:cs="Calibri"/>
          <w:lang w:val="it-IT"/>
        </w:rPr>
        <w:t>Amyloid</w:t>
      </w:r>
      <w:proofErr w:type="spellEnd"/>
      <w:r w:rsidRPr="000074FB">
        <w:rPr>
          <w:rFonts w:ascii="Calibri" w:eastAsia="Calibri" w:hAnsi="Calibri" w:cs="Calibri"/>
          <w:lang w:val="it-IT"/>
        </w:rPr>
        <w:t xml:space="preserve"> Precursor </w:t>
      </w:r>
      <w:proofErr w:type="spellStart"/>
      <w:r w:rsidRPr="000074FB">
        <w:rPr>
          <w:rFonts w:ascii="Calibri" w:eastAsia="Calibri" w:hAnsi="Calibri" w:cs="Calibri"/>
          <w:lang w:val="it-IT"/>
        </w:rPr>
        <w:t>Protein</w:t>
      </w:r>
      <w:proofErr w:type="spellEnd"/>
      <w:r w:rsidRPr="000074FB">
        <w:rPr>
          <w:rFonts w:ascii="Calibri" w:eastAsia="Calibri" w:hAnsi="Calibri" w:cs="Calibri"/>
          <w:lang w:val="it-IT"/>
        </w:rPr>
        <w:t>) mantenevano una memoria intatta senza attivare l'ippocampo come i topi wild-</w:t>
      </w:r>
      <w:proofErr w:type="spellStart"/>
      <w:r w:rsidRPr="000074FB">
        <w:rPr>
          <w:rFonts w:ascii="Calibri" w:eastAsia="Calibri" w:hAnsi="Calibri" w:cs="Calibri"/>
          <w:lang w:val="it-IT"/>
        </w:rPr>
        <w:t>type</w:t>
      </w:r>
      <w:proofErr w:type="spellEnd"/>
      <w:r w:rsidRPr="000074FB">
        <w:rPr>
          <w:rFonts w:ascii="Calibri" w:eastAsia="Calibri" w:hAnsi="Calibri" w:cs="Calibri"/>
          <w:lang w:val="it-IT"/>
        </w:rPr>
        <w:t xml:space="preserve">, ma sovra-attivando l'amigdala. </w:t>
      </w:r>
    </w:p>
    <w:p w14:paraId="2CDD8CA6" w14:textId="5EE96F7B" w:rsidR="00890E31" w:rsidRPr="000074FB" w:rsidRDefault="00890E31" w:rsidP="00907FE4">
      <w:pPr>
        <w:pStyle w:val="Normale2"/>
        <w:jc w:val="both"/>
        <w:rPr>
          <w:rFonts w:ascii="Calibri" w:eastAsia="Calibri" w:hAnsi="Calibri" w:cs="Calibri"/>
          <w:lang w:val="it-IT"/>
        </w:rPr>
      </w:pPr>
      <w:r w:rsidRPr="000074FB">
        <w:rPr>
          <w:rFonts w:ascii="Calibri" w:eastAsia="Calibri" w:hAnsi="Calibri" w:cs="Calibri"/>
          <w:lang w:val="it-IT"/>
        </w:rPr>
        <w:t xml:space="preserve">In </w:t>
      </w:r>
      <w:r w:rsidR="005836CC" w:rsidRPr="000074FB">
        <w:rPr>
          <w:rFonts w:ascii="Calibri" w:eastAsia="Calibri" w:hAnsi="Calibri" w:cs="Calibri"/>
          <w:lang w:val="it-IT"/>
        </w:rPr>
        <w:t>linea con tali evidenze</w:t>
      </w:r>
      <w:r w:rsidRPr="000074FB">
        <w:rPr>
          <w:rFonts w:ascii="Calibri" w:eastAsia="Calibri" w:hAnsi="Calibri" w:cs="Calibri"/>
          <w:lang w:val="it-IT"/>
        </w:rPr>
        <w:t xml:space="preserve">, rilevanti dati preliminari ottenuti dall’unità </w:t>
      </w:r>
      <w:proofErr w:type="spellStart"/>
      <w:r w:rsidRPr="000074FB">
        <w:rPr>
          <w:rFonts w:ascii="Calibri" w:eastAsia="Calibri" w:hAnsi="Calibri" w:cs="Calibri"/>
          <w:lang w:val="it-IT"/>
        </w:rPr>
        <w:t>Sapeinza</w:t>
      </w:r>
      <w:proofErr w:type="spellEnd"/>
      <w:r w:rsidRPr="000074FB">
        <w:rPr>
          <w:rFonts w:ascii="Calibri" w:eastAsia="Calibri" w:hAnsi="Calibri" w:cs="Calibri"/>
          <w:lang w:val="it-IT"/>
        </w:rPr>
        <w:t xml:space="preserve"> indicano che </w:t>
      </w:r>
      <w:r w:rsidR="005F6B52" w:rsidRPr="000074FB">
        <w:rPr>
          <w:rFonts w:ascii="Calibri" w:eastAsia="Calibri" w:hAnsi="Calibri" w:cs="Calibri"/>
          <w:lang w:val="it-IT"/>
        </w:rPr>
        <w:t xml:space="preserve">nel modello murino, </w:t>
      </w:r>
      <w:r w:rsidRPr="000074FB">
        <w:rPr>
          <w:rFonts w:ascii="Calibri" w:eastAsia="Calibri" w:hAnsi="Calibri" w:cs="Calibri"/>
          <w:lang w:val="it-IT"/>
        </w:rPr>
        <w:t xml:space="preserve">una forma di compensazione neuronale </w:t>
      </w:r>
      <w:r w:rsidR="005F6B52" w:rsidRPr="000074FB">
        <w:rPr>
          <w:rFonts w:ascii="Calibri" w:eastAsia="Calibri" w:hAnsi="Calibri" w:cs="Calibri"/>
          <w:lang w:val="it-IT"/>
        </w:rPr>
        <w:t xml:space="preserve">avviene non solo nella fase </w:t>
      </w:r>
      <w:proofErr w:type="spellStart"/>
      <w:r w:rsidR="005F6B52" w:rsidRPr="000074FB">
        <w:rPr>
          <w:rFonts w:ascii="Calibri" w:eastAsia="Calibri" w:hAnsi="Calibri" w:cs="Calibri"/>
          <w:lang w:val="it-IT"/>
        </w:rPr>
        <w:t>presintomati</w:t>
      </w:r>
      <w:r w:rsidR="00D02202">
        <w:rPr>
          <w:rFonts w:ascii="Calibri" w:eastAsia="Calibri" w:hAnsi="Calibri" w:cs="Calibri"/>
          <w:lang w:val="it-IT"/>
        </w:rPr>
        <w:t>ca</w:t>
      </w:r>
      <w:proofErr w:type="spellEnd"/>
      <w:r w:rsidR="00D02202">
        <w:rPr>
          <w:rFonts w:ascii="Calibri" w:eastAsia="Calibri" w:hAnsi="Calibri" w:cs="Calibri"/>
          <w:lang w:val="it-IT"/>
        </w:rPr>
        <w:t xml:space="preserve"> dell’AD ma anche in  condizi</w:t>
      </w:r>
      <w:r w:rsidR="005F6B52" w:rsidRPr="000074FB">
        <w:rPr>
          <w:rFonts w:ascii="Calibri" w:eastAsia="Calibri" w:hAnsi="Calibri" w:cs="Calibri"/>
          <w:lang w:val="it-IT"/>
        </w:rPr>
        <w:t>oni wild-</w:t>
      </w:r>
      <w:proofErr w:type="spellStart"/>
      <w:r w:rsidR="005F6B52" w:rsidRPr="000074FB">
        <w:rPr>
          <w:rFonts w:ascii="Calibri" w:eastAsia="Calibri" w:hAnsi="Calibri" w:cs="Calibri"/>
          <w:lang w:val="it-IT"/>
        </w:rPr>
        <w:t>type</w:t>
      </w:r>
      <w:proofErr w:type="spellEnd"/>
      <w:r w:rsidR="005F6B52" w:rsidRPr="000074FB">
        <w:rPr>
          <w:rFonts w:ascii="Calibri" w:eastAsia="Calibri" w:hAnsi="Calibri" w:cs="Calibri"/>
          <w:lang w:val="it-IT"/>
        </w:rPr>
        <w:t xml:space="preserve">. Tale fenomeno è </w:t>
      </w:r>
      <w:r w:rsidRPr="000074FB">
        <w:rPr>
          <w:rFonts w:ascii="Calibri" w:eastAsia="Calibri" w:hAnsi="Calibri" w:cs="Calibri"/>
          <w:lang w:val="it-IT"/>
        </w:rPr>
        <w:t xml:space="preserve">caratterizzata dal reclutamento di </w:t>
      </w:r>
      <w:r w:rsidR="005F6B52" w:rsidRPr="000074FB">
        <w:rPr>
          <w:rFonts w:ascii="Calibri" w:eastAsia="Calibri" w:hAnsi="Calibri" w:cs="Calibri"/>
          <w:lang w:val="it-IT"/>
        </w:rPr>
        <w:t>aree cerebrali</w:t>
      </w:r>
      <w:r w:rsidRPr="000074FB">
        <w:rPr>
          <w:rFonts w:ascii="Calibri" w:eastAsia="Calibri" w:hAnsi="Calibri" w:cs="Calibri"/>
          <w:lang w:val="it-IT"/>
        </w:rPr>
        <w:t xml:space="preserve"> alternativi ai network di memoria canonici</w:t>
      </w:r>
      <w:r w:rsidR="005F6B52" w:rsidRPr="000074FB">
        <w:rPr>
          <w:rFonts w:ascii="Calibri" w:eastAsia="Calibri" w:hAnsi="Calibri" w:cs="Calibri"/>
          <w:lang w:val="it-IT"/>
        </w:rPr>
        <w:t xml:space="preserve"> che, se propriamente stimolate inducono la formazione di una memoria più forte e duratura.</w:t>
      </w:r>
    </w:p>
    <w:p w14:paraId="7E3AF500" w14:textId="0EAAE2F5" w:rsidR="0025658C" w:rsidRDefault="0025658C" w:rsidP="00907FE4">
      <w:pPr>
        <w:pStyle w:val="Normale2"/>
        <w:jc w:val="both"/>
        <w:rPr>
          <w:rFonts w:ascii="Calibri" w:eastAsia="Calibri" w:hAnsi="Calibri" w:cs="Calibri"/>
          <w:color w:val="202124"/>
          <w:lang w:val="it-IT"/>
        </w:rPr>
      </w:pPr>
    </w:p>
    <w:p w14:paraId="07A640FC" w14:textId="36D60B9E" w:rsidR="00907FE4" w:rsidRDefault="00907FE4" w:rsidP="00907FE4">
      <w:pPr>
        <w:pStyle w:val="Normale2"/>
        <w:jc w:val="both"/>
        <w:rPr>
          <w:rFonts w:ascii="Calibri" w:eastAsia="Calibri" w:hAnsi="Calibri" w:cs="Calibri"/>
          <w:color w:val="202124"/>
          <w:lang w:val="it-IT"/>
        </w:rPr>
      </w:pPr>
      <w:r w:rsidRPr="000074FB">
        <w:rPr>
          <w:rFonts w:ascii="Calibri" w:eastAsia="Calibri" w:hAnsi="Calibri" w:cs="Calibri"/>
          <w:color w:val="202124"/>
          <w:lang w:val="it-IT"/>
        </w:rPr>
        <w:t>Questi dati dimostrano che alterazioni molecolari e adattamenti compensatori avvengono nel cervello prima dello sviluppo dei disturbi cognitiv</w:t>
      </w:r>
      <w:r w:rsidR="005F6B52" w:rsidRPr="000074FB">
        <w:rPr>
          <w:rFonts w:ascii="Calibri" w:eastAsia="Calibri" w:hAnsi="Calibri" w:cs="Calibri"/>
          <w:color w:val="202124"/>
          <w:lang w:val="it-IT"/>
        </w:rPr>
        <w:t xml:space="preserve">i grazie all’attivazione di “circuiti </w:t>
      </w:r>
      <w:proofErr w:type="spellStart"/>
      <w:r w:rsidR="005F6B52" w:rsidRPr="000074FB">
        <w:rPr>
          <w:rFonts w:ascii="Calibri" w:eastAsia="Calibri" w:hAnsi="Calibri" w:cs="Calibri"/>
          <w:color w:val="202124"/>
          <w:lang w:val="it-IT"/>
        </w:rPr>
        <w:t>aletrnativi</w:t>
      </w:r>
      <w:proofErr w:type="spellEnd"/>
      <w:r w:rsidR="005F6B52" w:rsidRPr="000074FB">
        <w:rPr>
          <w:rFonts w:ascii="Calibri" w:eastAsia="Calibri" w:hAnsi="Calibri" w:cs="Calibri"/>
          <w:color w:val="202124"/>
          <w:lang w:val="it-IT"/>
        </w:rPr>
        <w:t>”.</w:t>
      </w:r>
      <w:r w:rsidRPr="000074FB">
        <w:rPr>
          <w:rFonts w:ascii="Calibri" w:eastAsia="Calibri" w:hAnsi="Calibri" w:cs="Calibri"/>
          <w:color w:val="202124"/>
          <w:lang w:val="it-IT"/>
        </w:rPr>
        <w:t xml:space="preserve"> </w:t>
      </w:r>
      <w:r w:rsidR="005F6B52" w:rsidRPr="000074FB">
        <w:rPr>
          <w:rFonts w:ascii="Calibri" w:eastAsia="Calibri" w:hAnsi="Calibri" w:cs="Calibri"/>
          <w:color w:val="202124"/>
          <w:lang w:val="it-IT"/>
        </w:rPr>
        <w:t>Tali</w:t>
      </w:r>
      <w:r w:rsidRPr="000074FB">
        <w:rPr>
          <w:rFonts w:ascii="Calibri" w:eastAsia="Calibri" w:hAnsi="Calibri" w:cs="Calibri"/>
          <w:color w:val="202124"/>
          <w:lang w:val="it-IT"/>
        </w:rPr>
        <w:t xml:space="preserve"> circuiti “alternativi” hanno due proprietà importanti: (i) sono attivati precocemente; (ii) sono meno deteriorati rispetto ai circuiti canonici. Potrebbero essere quindi considerati come siti </w:t>
      </w:r>
      <w:r w:rsidR="004747AE" w:rsidRPr="000074FB">
        <w:rPr>
          <w:rFonts w:ascii="Calibri" w:eastAsia="Calibri" w:hAnsi="Calibri" w:cs="Calibri"/>
          <w:color w:val="202124"/>
          <w:lang w:val="it-IT"/>
        </w:rPr>
        <w:t>di</w:t>
      </w:r>
      <w:r w:rsidRPr="000074FB">
        <w:rPr>
          <w:rFonts w:ascii="Calibri" w:eastAsia="Calibri" w:hAnsi="Calibri" w:cs="Calibri"/>
          <w:color w:val="202124"/>
          <w:lang w:val="it-IT"/>
        </w:rPr>
        <w:t xml:space="preserve"> stimolazione in una prospettiva terapeutica volta a intervenire quando le prestazioni di  memoria sono ancora intatta  con l’obiettivo di prolungare la funzione  compensatoria dei circuiti alternativi (integri) piuttosto che restaurare i circuiti canonici (deteriorati).</w:t>
      </w:r>
    </w:p>
    <w:p w14:paraId="4FFE0A67" w14:textId="60208CA0" w:rsidR="0025658C" w:rsidRDefault="0025658C" w:rsidP="00907FE4">
      <w:pPr>
        <w:pStyle w:val="Normale2"/>
        <w:jc w:val="both"/>
        <w:rPr>
          <w:rFonts w:ascii="Calibri" w:eastAsia="Calibri" w:hAnsi="Calibri" w:cs="Calibri"/>
          <w:color w:val="202124"/>
          <w:lang w:val="it-IT"/>
        </w:rPr>
      </w:pPr>
    </w:p>
    <w:p w14:paraId="5BAD37A6" w14:textId="4CD18527" w:rsidR="0025658C" w:rsidRPr="000074FB" w:rsidRDefault="00A150DD" w:rsidP="00907FE4">
      <w:pPr>
        <w:pStyle w:val="Normale2"/>
        <w:jc w:val="both"/>
        <w:rPr>
          <w:rFonts w:ascii="Calibri" w:eastAsia="Calibri" w:hAnsi="Calibri" w:cs="Calibri"/>
          <w:color w:val="202124"/>
          <w:lang w:val="it-IT"/>
        </w:rPr>
      </w:pPr>
      <w:r>
        <w:rPr>
          <w:bCs/>
          <w:noProof/>
          <w:lang w:val="it-IT" w:eastAsia="it-IT"/>
        </w:rPr>
        <w:drawing>
          <wp:inline distT="0" distB="0" distL="0" distR="0" wp14:anchorId="1CEE1332" wp14:editId="74631976">
            <wp:extent cx="5607685" cy="548386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4" t="11436" r="23349" b="11451"/>
                    <a:stretch/>
                  </pic:blipFill>
                  <pic:spPr bwMode="auto">
                    <a:xfrm>
                      <a:off x="0" y="0"/>
                      <a:ext cx="5607685" cy="548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CAEAD" w14:textId="751AB473" w:rsidR="00B5075A" w:rsidRDefault="00B5075A" w:rsidP="00B5075A">
      <w:pPr>
        <w:rPr>
          <w:rFonts w:ascii="Consolas" w:hAnsi="Consolas"/>
          <w:color w:val="000099"/>
          <w:sz w:val="18"/>
          <w:szCs w:val="18"/>
          <w:shd w:val="clear" w:color="auto" w:fill="EEEEEE"/>
        </w:rPr>
      </w:pPr>
      <w:r w:rsidRPr="00482A9F">
        <w:rPr>
          <w:rFonts w:ascii="Consolas" w:hAnsi="Consolas"/>
          <w:color w:val="000099"/>
          <w:sz w:val="18"/>
          <w:szCs w:val="18"/>
        </w:rPr>
        <w:br/>
      </w:r>
      <w:r w:rsidRPr="00392123">
        <w:rPr>
          <w:b/>
          <w:bCs/>
        </w:rPr>
        <w:t>OBIETTIVI</w:t>
      </w:r>
      <w:r w:rsidR="00970ADF">
        <w:rPr>
          <w:b/>
          <w:bCs/>
        </w:rPr>
        <w:t xml:space="preserve">: </w:t>
      </w:r>
    </w:p>
    <w:p w14:paraId="0C8ADC0B" w14:textId="125859AD" w:rsidR="00074543" w:rsidRDefault="00B5075A" w:rsidP="00074543">
      <w:pPr>
        <w:pStyle w:val="Normale1"/>
        <w:jc w:val="both"/>
        <w:rPr>
          <w:rFonts w:ascii="Calibri" w:eastAsia="Calibri" w:hAnsi="Calibri" w:cs="Calibri"/>
          <w:lang w:val="it-IT"/>
        </w:rPr>
      </w:pPr>
      <w:r w:rsidRPr="00482A9F">
        <w:rPr>
          <w:rFonts w:ascii="Calibri" w:eastAsia="Calibri" w:hAnsi="Calibri" w:cs="Calibri"/>
          <w:lang w:val="it-IT"/>
        </w:rPr>
        <w:t xml:space="preserve">L’obiettivo generale del progetto è di identificare nuovi e specifici target cerebrali da stimolare tramite tecniche non invasive per prolungare l’efficienza dei circuiti compensatori </w:t>
      </w:r>
      <w:r w:rsidR="00907FE4">
        <w:rPr>
          <w:rFonts w:ascii="Calibri" w:eastAsia="Calibri" w:hAnsi="Calibri" w:cs="Calibri"/>
          <w:lang w:val="it-IT"/>
        </w:rPr>
        <w:t>per il mantenimento di uno</w:t>
      </w:r>
      <w:r w:rsidRPr="00482A9F">
        <w:rPr>
          <w:rFonts w:ascii="Calibri" w:eastAsia="Calibri" w:hAnsi="Calibri" w:cs="Calibri"/>
          <w:lang w:val="it-IT"/>
        </w:rPr>
        <w:t xml:space="preserve"> stato </w:t>
      </w:r>
      <w:r w:rsidRPr="00074543">
        <w:rPr>
          <w:rFonts w:ascii="Calibri" w:eastAsia="Calibri" w:hAnsi="Calibri" w:cs="Calibri"/>
          <w:lang w:val="it-IT"/>
        </w:rPr>
        <w:t>cognitivamente asintomatico.</w:t>
      </w:r>
      <w:r w:rsidR="00074543">
        <w:rPr>
          <w:rFonts w:ascii="Calibri" w:eastAsia="Calibri" w:hAnsi="Calibri" w:cs="Calibri"/>
          <w:lang w:val="it-IT"/>
        </w:rPr>
        <w:t xml:space="preserve"> </w:t>
      </w:r>
      <w:r w:rsidR="00907FE4">
        <w:rPr>
          <w:rFonts w:ascii="Calibri" w:eastAsia="Calibri" w:hAnsi="Calibri" w:cs="Calibri"/>
          <w:lang w:val="it-IT"/>
        </w:rPr>
        <w:t xml:space="preserve"> Nello specifico</w:t>
      </w:r>
      <w:r w:rsidR="004747AE">
        <w:rPr>
          <w:rFonts w:ascii="Calibri" w:eastAsia="Calibri" w:hAnsi="Calibri" w:cs="Calibri"/>
          <w:lang w:val="it-IT"/>
        </w:rPr>
        <w:t xml:space="preserve"> sarà effettuata:</w:t>
      </w:r>
    </w:p>
    <w:p w14:paraId="7E8FE3AE" w14:textId="53E1F135" w:rsidR="00907FE4" w:rsidRPr="00907FE4" w:rsidRDefault="007415D8" w:rsidP="00392123">
      <w:pPr>
        <w:pStyle w:val="Normale1"/>
        <w:numPr>
          <w:ilvl w:val="0"/>
          <w:numId w:val="1"/>
        </w:numPr>
        <w:jc w:val="both"/>
        <w:rPr>
          <w:rFonts w:ascii="Calibri" w:eastAsia="Calibri" w:hAnsi="Calibri" w:cs="Calibri"/>
          <w:lang w:val="it-IT"/>
        </w:rPr>
      </w:pPr>
      <w:r w:rsidRPr="000074FB">
        <w:rPr>
          <w:rFonts w:ascii="Calibri" w:eastAsia="Calibri" w:hAnsi="Calibri" w:cs="Calibri"/>
          <w:bCs/>
          <w:lang w:val="it-IT"/>
        </w:rPr>
        <w:t xml:space="preserve">Mappatura delle strutture compensatorie attivate nel </w:t>
      </w:r>
      <w:r w:rsidR="00907FE4" w:rsidRPr="000074FB">
        <w:rPr>
          <w:rFonts w:ascii="Calibri" w:eastAsia="Calibri" w:hAnsi="Calibri" w:cs="Calibri"/>
          <w:bCs/>
          <w:lang w:val="it-IT"/>
        </w:rPr>
        <w:t>modello murino di Alzheimer</w:t>
      </w:r>
      <w:r w:rsidR="008A7F4C" w:rsidRPr="000074FB">
        <w:rPr>
          <w:rFonts w:ascii="Calibri" w:eastAsia="Calibri" w:hAnsi="Calibri" w:cs="Calibri"/>
          <w:bCs/>
          <w:lang w:val="it-IT"/>
        </w:rPr>
        <w:t xml:space="preserve"> in fase </w:t>
      </w:r>
      <w:proofErr w:type="spellStart"/>
      <w:r w:rsidR="008A7F4C" w:rsidRPr="000074FB">
        <w:rPr>
          <w:rFonts w:ascii="Calibri" w:eastAsia="Calibri" w:hAnsi="Calibri" w:cs="Calibri"/>
          <w:bCs/>
          <w:lang w:val="it-IT"/>
        </w:rPr>
        <w:t>pre</w:t>
      </w:r>
      <w:proofErr w:type="spellEnd"/>
      <w:r w:rsidR="008A7F4C" w:rsidRPr="000074FB">
        <w:rPr>
          <w:rFonts w:ascii="Calibri" w:eastAsia="Calibri" w:hAnsi="Calibri" w:cs="Calibri"/>
          <w:bCs/>
          <w:lang w:val="it-IT"/>
        </w:rPr>
        <w:t xml:space="preserve">-sintomatica e </w:t>
      </w:r>
      <w:r w:rsidR="008A7F4C" w:rsidRPr="000074FB">
        <w:rPr>
          <w:rFonts w:ascii="Calibri" w:eastAsia="Calibri" w:hAnsi="Calibri" w:cs="Calibri"/>
          <w:lang w:val="it-IT"/>
        </w:rPr>
        <w:t>nei topi wild-</w:t>
      </w:r>
      <w:proofErr w:type="spellStart"/>
      <w:r w:rsidR="008A7F4C" w:rsidRPr="000074FB">
        <w:rPr>
          <w:rFonts w:ascii="Calibri" w:eastAsia="Calibri" w:hAnsi="Calibri" w:cs="Calibri"/>
          <w:lang w:val="it-IT"/>
        </w:rPr>
        <w:t>type</w:t>
      </w:r>
      <w:proofErr w:type="spellEnd"/>
      <w:r w:rsidR="008A7F4C" w:rsidRPr="000074FB">
        <w:rPr>
          <w:rFonts w:ascii="Calibri" w:eastAsia="Calibri" w:hAnsi="Calibri" w:cs="Calibri"/>
          <w:lang w:val="it-IT"/>
        </w:rPr>
        <w:t xml:space="preserve"> adulti</w:t>
      </w:r>
      <w:r w:rsidR="00907FE4" w:rsidRPr="000074FB">
        <w:rPr>
          <w:rFonts w:ascii="Calibri" w:eastAsia="Calibri" w:hAnsi="Calibri" w:cs="Calibri"/>
          <w:bCs/>
          <w:lang w:val="it-IT"/>
        </w:rPr>
        <w:t xml:space="preserve"> in seguito all’esecuzione di task cognitivi</w:t>
      </w:r>
    </w:p>
    <w:p w14:paraId="484D6E5B" w14:textId="638508BD" w:rsidR="00FF4F32" w:rsidRPr="00907FE4" w:rsidRDefault="007415D8" w:rsidP="00392123">
      <w:pPr>
        <w:pStyle w:val="Normale1"/>
        <w:numPr>
          <w:ilvl w:val="0"/>
          <w:numId w:val="1"/>
        </w:numPr>
        <w:jc w:val="both"/>
        <w:rPr>
          <w:rFonts w:ascii="Calibri" w:eastAsia="Calibri" w:hAnsi="Calibri" w:cs="Calibri"/>
          <w:lang w:val="it-IT"/>
        </w:rPr>
      </w:pPr>
      <w:r w:rsidRPr="000074FB">
        <w:rPr>
          <w:rFonts w:ascii="Calibri" w:eastAsia="Calibri" w:hAnsi="Calibri" w:cs="Calibri"/>
          <w:bCs/>
          <w:lang w:val="it-IT"/>
        </w:rPr>
        <w:lastRenderedPageBreak/>
        <w:t xml:space="preserve">Stimolazione circuiti compensatori nel </w:t>
      </w:r>
      <w:proofErr w:type="spellStart"/>
      <w:r w:rsidR="00907FE4" w:rsidRPr="000074FB">
        <w:rPr>
          <w:rFonts w:ascii="Calibri" w:eastAsia="Calibri" w:hAnsi="Calibri" w:cs="Calibri"/>
          <w:bCs/>
          <w:lang w:val="it-IT"/>
        </w:rPr>
        <w:t>nel</w:t>
      </w:r>
      <w:proofErr w:type="spellEnd"/>
      <w:r w:rsidR="00907FE4" w:rsidRPr="000074FB">
        <w:rPr>
          <w:rFonts w:ascii="Calibri" w:eastAsia="Calibri" w:hAnsi="Calibri" w:cs="Calibri"/>
          <w:bCs/>
          <w:lang w:val="it-IT"/>
        </w:rPr>
        <w:t xml:space="preserve"> modello murino di Alzheimer  al fine di (i) ritardare l’</w:t>
      </w:r>
      <w:proofErr w:type="spellStart"/>
      <w:r w:rsidR="00907FE4" w:rsidRPr="000074FB">
        <w:rPr>
          <w:rFonts w:ascii="Calibri" w:eastAsia="Calibri" w:hAnsi="Calibri" w:cs="Calibri"/>
          <w:bCs/>
          <w:lang w:val="it-IT"/>
        </w:rPr>
        <w:t>isorgenza</w:t>
      </w:r>
      <w:proofErr w:type="spellEnd"/>
      <w:r w:rsidR="00907FE4" w:rsidRPr="000074FB">
        <w:rPr>
          <w:rFonts w:ascii="Calibri" w:eastAsia="Calibri" w:hAnsi="Calibri" w:cs="Calibri"/>
          <w:bCs/>
          <w:lang w:val="it-IT"/>
        </w:rPr>
        <w:t xml:space="preserve"> del deficit cognitivo in fase </w:t>
      </w:r>
      <w:proofErr w:type="spellStart"/>
      <w:r w:rsidR="00907FE4" w:rsidRPr="000074FB">
        <w:rPr>
          <w:rFonts w:ascii="Calibri" w:eastAsia="Calibri" w:hAnsi="Calibri" w:cs="Calibri"/>
          <w:bCs/>
          <w:lang w:val="it-IT"/>
        </w:rPr>
        <w:t>presintomatica</w:t>
      </w:r>
      <w:proofErr w:type="spellEnd"/>
      <w:r w:rsidR="00907FE4" w:rsidRPr="000074FB">
        <w:rPr>
          <w:rFonts w:ascii="Calibri" w:eastAsia="Calibri" w:hAnsi="Calibri" w:cs="Calibri"/>
          <w:bCs/>
          <w:lang w:val="it-IT"/>
        </w:rPr>
        <w:t xml:space="preserve"> e di (ii) recuperare </w:t>
      </w:r>
      <w:r w:rsidR="004747AE" w:rsidRPr="000074FB">
        <w:rPr>
          <w:rFonts w:ascii="Calibri" w:eastAsia="Calibri" w:hAnsi="Calibri" w:cs="Calibri"/>
          <w:bCs/>
          <w:lang w:val="it-IT"/>
        </w:rPr>
        <w:t>i</w:t>
      </w:r>
      <w:r w:rsidR="00907FE4" w:rsidRPr="000074FB">
        <w:rPr>
          <w:rFonts w:ascii="Calibri" w:eastAsia="Calibri" w:hAnsi="Calibri" w:cs="Calibri"/>
          <w:bCs/>
          <w:lang w:val="it-IT"/>
        </w:rPr>
        <w:t xml:space="preserve"> deficit comportamentali in fase sintomatica</w:t>
      </w:r>
    </w:p>
    <w:p w14:paraId="2EBE963C" w14:textId="60963770" w:rsidR="00907FE4" w:rsidRDefault="00B5075A" w:rsidP="006826DE">
      <w:pPr>
        <w:jc w:val="both"/>
        <w:rPr>
          <w:b/>
          <w:bCs/>
        </w:rPr>
      </w:pPr>
      <w:r w:rsidRPr="00392123">
        <w:br/>
      </w:r>
      <w:r w:rsidRPr="00392123">
        <w:rPr>
          <w:b/>
          <w:bCs/>
        </w:rPr>
        <w:t xml:space="preserve">METODOLOGIE </w:t>
      </w:r>
      <w:r w:rsidR="00367F3D">
        <w:rPr>
          <w:b/>
          <w:bCs/>
        </w:rPr>
        <w:t>E</w:t>
      </w:r>
      <w:r w:rsidRPr="00392123">
        <w:rPr>
          <w:b/>
          <w:bCs/>
        </w:rPr>
        <w:t xml:space="preserve"> TECNICHE DI INDAGINE</w:t>
      </w:r>
      <w:r w:rsidR="00970ADF">
        <w:rPr>
          <w:b/>
          <w:bCs/>
        </w:rPr>
        <w:t>:</w:t>
      </w:r>
    </w:p>
    <w:p w14:paraId="0739B0DD" w14:textId="7B70C0E9" w:rsidR="008A7F4C" w:rsidRPr="008A7F4C" w:rsidRDefault="00907FE4" w:rsidP="008A7F4C">
      <w:pPr>
        <w:jc w:val="both"/>
        <w:rPr>
          <w:b/>
          <w:bCs/>
        </w:rPr>
      </w:pPr>
      <w:r w:rsidRPr="004747AE">
        <w:rPr>
          <w:bCs/>
        </w:rPr>
        <w:t xml:space="preserve">Le tecniche </w:t>
      </w:r>
      <w:r w:rsidR="00B214F1" w:rsidRPr="004747AE">
        <w:rPr>
          <w:bCs/>
        </w:rPr>
        <w:t>d’</w:t>
      </w:r>
      <w:r w:rsidRPr="004747AE">
        <w:rPr>
          <w:bCs/>
        </w:rPr>
        <w:t>indagine proposte nel progetto prevedono l’utilizzo del modello murino di Alzheimer Tg2576</w:t>
      </w:r>
      <w:r w:rsidR="008A7F4C">
        <w:rPr>
          <w:bCs/>
        </w:rPr>
        <w:t xml:space="preserve">  e di </w:t>
      </w:r>
      <w:r w:rsidR="008A7F4C">
        <w:rPr>
          <w:rFonts w:ascii="Calibri" w:eastAsia="Calibri" w:hAnsi="Calibri" w:cs="Calibri"/>
        </w:rPr>
        <w:t>topi wild-</w:t>
      </w:r>
      <w:proofErr w:type="spellStart"/>
      <w:r w:rsidR="008A7F4C">
        <w:rPr>
          <w:rFonts w:ascii="Calibri" w:eastAsia="Calibri" w:hAnsi="Calibri" w:cs="Calibri"/>
        </w:rPr>
        <w:t>type</w:t>
      </w:r>
      <w:proofErr w:type="spellEnd"/>
      <w:r w:rsidR="008A7F4C">
        <w:rPr>
          <w:rFonts w:ascii="Calibri" w:eastAsia="Calibri" w:hAnsi="Calibri" w:cs="Calibri"/>
        </w:rPr>
        <w:t xml:space="preserve"> adulti</w:t>
      </w:r>
      <w:r w:rsidRPr="004747AE">
        <w:rPr>
          <w:bCs/>
        </w:rPr>
        <w:t xml:space="preserve">. I task di memoria </w:t>
      </w:r>
      <w:r w:rsidR="00B214F1" w:rsidRPr="004747AE">
        <w:rPr>
          <w:bCs/>
        </w:rPr>
        <w:t>cui</w:t>
      </w:r>
      <w:r w:rsidRPr="004747AE">
        <w:rPr>
          <w:bCs/>
        </w:rPr>
        <w:t xml:space="preserve"> i topi saranno sottoposti</w:t>
      </w:r>
      <w:r w:rsidR="00156D63" w:rsidRPr="004747AE">
        <w:rPr>
          <w:bCs/>
        </w:rPr>
        <w:t xml:space="preserve"> </w:t>
      </w:r>
      <w:r w:rsidRPr="004747AE">
        <w:rPr>
          <w:bCs/>
        </w:rPr>
        <w:t>sono il task di condiz</w:t>
      </w:r>
      <w:r w:rsidR="008A7F4C">
        <w:rPr>
          <w:bCs/>
        </w:rPr>
        <w:t xml:space="preserve">ionamento avversivo al contesto, </w:t>
      </w:r>
      <w:r w:rsidRPr="004747AE">
        <w:rPr>
          <w:bCs/>
        </w:rPr>
        <w:t>il task di condizionamento avversivo al suono</w:t>
      </w:r>
      <w:r w:rsidR="008A7F4C">
        <w:rPr>
          <w:bCs/>
        </w:rPr>
        <w:t xml:space="preserve"> ed il task di </w:t>
      </w:r>
      <w:r w:rsidR="008A7F4C" w:rsidRPr="008A7F4C">
        <w:rPr>
          <w:bCs/>
        </w:rPr>
        <w:t xml:space="preserve">apprendimento massivo </w:t>
      </w:r>
      <w:r w:rsidR="00312882">
        <w:rPr>
          <w:bCs/>
        </w:rPr>
        <w:t>e</w:t>
      </w:r>
      <w:r w:rsidR="008A7F4C" w:rsidRPr="008A7F4C">
        <w:rPr>
          <w:bCs/>
        </w:rPr>
        <w:t xml:space="preserve"> distribuito.</w:t>
      </w:r>
    </w:p>
    <w:p w14:paraId="1F78EEE5" w14:textId="6DB152BD" w:rsidR="004747AE" w:rsidRDefault="00907FE4" w:rsidP="006826DE">
      <w:pPr>
        <w:jc w:val="both"/>
        <w:rPr>
          <w:bCs/>
        </w:rPr>
      </w:pPr>
      <w:r w:rsidRPr="004747AE">
        <w:rPr>
          <w:bCs/>
        </w:rPr>
        <w:t>.</w:t>
      </w:r>
      <w:r w:rsidR="004747AE">
        <w:rPr>
          <w:bCs/>
        </w:rPr>
        <w:t xml:space="preserve">  </w:t>
      </w:r>
    </w:p>
    <w:p w14:paraId="242E4AEF" w14:textId="0D918431" w:rsidR="00C475E0" w:rsidRDefault="004747AE" w:rsidP="006826DE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>S</w:t>
      </w:r>
      <w:r w:rsidRPr="004747AE">
        <w:rPr>
          <w:rFonts w:ascii="Calibri" w:eastAsia="Calibri" w:hAnsi="Calibri" w:cs="Calibri"/>
        </w:rPr>
        <w:t>arà</w:t>
      </w:r>
      <w:r w:rsidR="00907FE4" w:rsidRPr="004747AE">
        <w:rPr>
          <w:rFonts w:ascii="Calibri" w:eastAsia="Calibri" w:hAnsi="Calibri" w:cs="Calibri"/>
        </w:rPr>
        <w:t xml:space="preserve"> eseguita un'analisi macroscopica dell'attivazione cerebrale utilizzando il proto oncogene c-</w:t>
      </w:r>
      <w:proofErr w:type="spellStart"/>
      <w:r w:rsidR="00907FE4" w:rsidRPr="004747AE">
        <w:rPr>
          <w:rFonts w:ascii="Calibri" w:eastAsia="Calibri" w:hAnsi="Calibri" w:cs="Calibri"/>
        </w:rPr>
        <w:t>fos</w:t>
      </w:r>
      <w:proofErr w:type="spellEnd"/>
      <w:r w:rsidR="00907FE4" w:rsidRPr="004747AE">
        <w:rPr>
          <w:rFonts w:ascii="Calibri" w:eastAsia="Calibri" w:hAnsi="Calibri" w:cs="Calibri"/>
        </w:rPr>
        <w:t xml:space="preserve"> per identificare le regioni attivate o </w:t>
      </w:r>
      <w:proofErr w:type="spellStart"/>
      <w:r w:rsidR="00907FE4" w:rsidRPr="004747AE">
        <w:rPr>
          <w:rFonts w:ascii="Calibri" w:eastAsia="Calibri" w:hAnsi="Calibri" w:cs="Calibri"/>
        </w:rPr>
        <w:t>ipo</w:t>
      </w:r>
      <w:proofErr w:type="spellEnd"/>
      <w:r w:rsidR="00907FE4" w:rsidRPr="004747AE">
        <w:rPr>
          <w:rFonts w:ascii="Calibri" w:eastAsia="Calibri" w:hAnsi="Calibri" w:cs="Calibri"/>
        </w:rPr>
        <w:t xml:space="preserve">-attivate durante la formazione della memoria. La selezione delle regioni cerebrali canoniche e compensatorie </w:t>
      </w:r>
      <w:r w:rsidRPr="004747AE">
        <w:rPr>
          <w:rFonts w:ascii="Calibri" w:eastAsia="Calibri" w:hAnsi="Calibri" w:cs="Calibri"/>
        </w:rPr>
        <w:t>sarà</w:t>
      </w:r>
      <w:r w:rsidR="00907FE4" w:rsidRPr="004747AE">
        <w:rPr>
          <w:rFonts w:ascii="Calibri" w:eastAsia="Calibri" w:hAnsi="Calibri" w:cs="Calibri"/>
        </w:rPr>
        <w:t xml:space="preserve"> stabilita analizzando il rimodellamento sinaptico (cambiamenti della densità e del grado di maturazione delle spine dendritiche) indotto dall’apprendimento nelle singole regioni.</w:t>
      </w:r>
      <w:r>
        <w:rPr>
          <w:rFonts w:ascii="Calibri" w:eastAsia="Calibri" w:hAnsi="Calibri" w:cs="Calibri"/>
        </w:rPr>
        <w:t xml:space="preserve"> </w:t>
      </w:r>
      <w:r w:rsidR="00907FE4">
        <w:rPr>
          <w:rFonts w:ascii="Calibri" w:eastAsia="Calibri" w:hAnsi="Calibri" w:cs="Calibri"/>
          <w:bCs/>
        </w:rPr>
        <w:t>La s</w:t>
      </w:r>
      <w:r w:rsidR="00907FE4" w:rsidRPr="00907FE4">
        <w:rPr>
          <w:rFonts w:ascii="Calibri" w:eastAsia="Calibri" w:hAnsi="Calibri" w:cs="Calibri"/>
          <w:bCs/>
        </w:rPr>
        <w:t xml:space="preserve">timolazione </w:t>
      </w:r>
      <w:r w:rsidR="00907FE4">
        <w:rPr>
          <w:rFonts w:ascii="Calibri" w:eastAsia="Calibri" w:hAnsi="Calibri" w:cs="Calibri"/>
          <w:bCs/>
        </w:rPr>
        <w:t xml:space="preserve">dei </w:t>
      </w:r>
      <w:r w:rsidR="00907FE4" w:rsidRPr="00907FE4">
        <w:rPr>
          <w:rFonts w:ascii="Calibri" w:eastAsia="Calibri" w:hAnsi="Calibri" w:cs="Calibri"/>
          <w:bCs/>
        </w:rPr>
        <w:t xml:space="preserve">circuiti </w:t>
      </w:r>
      <w:r w:rsidR="00907FE4">
        <w:rPr>
          <w:rFonts w:ascii="Calibri" w:eastAsia="Calibri" w:hAnsi="Calibri" w:cs="Calibri"/>
          <w:bCs/>
        </w:rPr>
        <w:t>cerebrali</w:t>
      </w:r>
      <w:r w:rsidR="00AE6C76">
        <w:rPr>
          <w:rFonts w:ascii="Calibri" w:eastAsia="Calibri" w:hAnsi="Calibri" w:cs="Calibri"/>
          <w:bCs/>
        </w:rPr>
        <w:t xml:space="preserve"> selezionati</w:t>
      </w:r>
      <w:r w:rsidR="00907FE4" w:rsidRPr="00907FE4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sarà</w:t>
      </w:r>
      <w:r w:rsidR="00907FE4">
        <w:rPr>
          <w:rFonts w:ascii="Calibri" w:eastAsia="Calibri" w:hAnsi="Calibri" w:cs="Calibri"/>
          <w:bCs/>
        </w:rPr>
        <w:t xml:space="preserve"> effettuata attraver</w:t>
      </w:r>
      <w:r>
        <w:rPr>
          <w:rFonts w:ascii="Calibri" w:eastAsia="Calibri" w:hAnsi="Calibri" w:cs="Calibri"/>
          <w:bCs/>
        </w:rPr>
        <w:t>s</w:t>
      </w:r>
      <w:r w:rsidR="00907FE4">
        <w:rPr>
          <w:rFonts w:ascii="Calibri" w:eastAsia="Calibri" w:hAnsi="Calibri" w:cs="Calibri"/>
          <w:bCs/>
        </w:rPr>
        <w:t xml:space="preserve">o tecniche di </w:t>
      </w:r>
      <w:proofErr w:type="spellStart"/>
      <w:r w:rsidR="00907FE4">
        <w:rPr>
          <w:rFonts w:ascii="Calibri" w:eastAsia="Calibri" w:hAnsi="Calibri" w:cs="Calibri"/>
          <w:bCs/>
        </w:rPr>
        <w:t>optogenetica</w:t>
      </w:r>
      <w:proofErr w:type="spellEnd"/>
      <w:r w:rsidR="00907FE4">
        <w:rPr>
          <w:rFonts w:ascii="Calibri" w:eastAsia="Calibri" w:hAnsi="Calibri" w:cs="Calibri"/>
          <w:bCs/>
        </w:rPr>
        <w:t xml:space="preserve"> e attraverso protocolli di stimolazione </w:t>
      </w:r>
      <w:proofErr w:type="spellStart"/>
      <w:r w:rsidR="00907FE4">
        <w:rPr>
          <w:rFonts w:ascii="Calibri" w:eastAsia="Calibri" w:hAnsi="Calibri" w:cs="Calibri"/>
          <w:bCs/>
        </w:rPr>
        <w:t>tDCS</w:t>
      </w:r>
      <w:proofErr w:type="spellEnd"/>
      <w:r w:rsidR="0081697F">
        <w:rPr>
          <w:rFonts w:ascii="Calibri" w:eastAsia="Calibri" w:hAnsi="Calibri" w:cs="Calibri"/>
          <w:bCs/>
        </w:rPr>
        <w:t>.</w:t>
      </w:r>
    </w:p>
    <w:p w14:paraId="59954ACA" w14:textId="77777777" w:rsidR="002A7721" w:rsidRDefault="002A7721" w:rsidP="006826DE">
      <w:pPr>
        <w:jc w:val="both"/>
        <w:rPr>
          <w:rFonts w:ascii="Calibri" w:eastAsia="Calibri" w:hAnsi="Calibri" w:cs="Calibri"/>
          <w:bCs/>
        </w:rPr>
      </w:pPr>
    </w:p>
    <w:p w14:paraId="4F63178D" w14:textId="77777777" w:rsidR="002A7721" w:rsidRDefault="002A7721" w:rsidP="006826DE">
      <w:pPr>
        <w:jc w:val="both"/>
        <w:rPr>
          <w:rFonts w:ascii="Calibri" w:eastAsia="Calibri" w:hAnsi="Calibri" w:cs="Calibri"/>
          <w:bCs/>
        </w:rPr>
      </w:pPr>
    </w:p>
    <w:p w14:paraId="26F5DB0C" w14:textId="3B4B8800" w:rsidR="002A7721" w:rsidRPr="0081697F" w:rsidRDefault="002A7721" w:rsidP="006826DE">
      <w:pPr>
        <w:jc w:val="both"/>
        <w:rPr>
          <w:bCs/>
        </w:rPr>
      </w:pPr>
    </w:p>
    <w:sectPr w:rsidR="002A7721" w:rsidRPr="00816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44C0B"/>
    <w:multiLevelType w:val="hybridMultilevel"/>
    <w:tmpl w:val="2E76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85"/>
    <w:rsid w:val="000074FB"/>
    <w:rsid w:val="00046575"/>
    <w:rsid w:val="00052D48"/>
    <w:rsid w:val="00074543"/>
    <w:rsid w:val="000B48D4"/>
    <w:rsid w:val="000D18F1"/>
    <w:rsid w:val="000D5ACF"/>
    <w:rsid w:val="00107181"/>
    <w:rsid w:val="00112EF5"/>
    <w:rsid w:val="00156D63"/>
    <w:rsid w:val="001B200F"/>
    <w:rsid w:val="001D567D"/>
    <w:rsid w:val="001E5F1B"/>
    <w:rsid w:val="0025658C"/>
    <w:rsid w:val="002A7721"/>
    <w:rsid w:val="002B5A61"/>
    <w:rsid w:val="002D0023"/>
    <w:rsid w:val="00312882"/>
    <w:rsid w:val="00367F3D"/>
    <w:rsid w:val="00392123"/>
    <w:rsid w:val="003B384B"/>
    <w:rsid w:val="004747AE"/>
    <w:rsid w:val="0047516D"/>
    <w:rsid w:val="004A4811"/>
    <w:rsid w:val="00515C12"/>
    <w:rsid w:val="005836CC"/>
    <w:rsid w:val="00597476"/>
    <w:rsid w:val="005F6B52"/>
    <w:rsid w:val="006348BD"/>
    <w:rsid w:val="00654222"/>
    <w:rsid w:val="006826DE"/>
    <w:rsid w:val="00683EF8"/>
    <w:rsid w:val="006A1F12"/>
    <w:rsid w:val="006A6175"/>
    <w:rsid w:val="006E6290"/>
    <w:rsid w:val="00723CB4"/>
    <w:rsid w:val="007415D8"/>
    <w:rsid w:val="007F405D"/>
    <w:rsid w:val="0081697F"/>
    <w:rsid w:val="00890E31"/>
    <w:rsid w:val="008A4BBE"/>
    <w:rsid w:val="008A7F4C"/>
    <w:rsid w:val="008C2C2B"/>
    <w:rsid w:val="00907FE4"/>
    <w:rsid w:val="00970ADF"/>
    <w:rsid w:val="009F1063"/>
    <w:rsid w:val="009F1919"/>
    <w:rsid w:val="00A150DD"/>
    <w:rsid w:val="00A62292"/>
    <w:rsid w:val="00A936AC"/>
    <w:rsid w:val="00AE48AE"/>
    <w:rsid w:val="00AE6C76"/>
    <w:rsid w:val="00B103F4"/>
    <w:rsid w:val="00B214F1"/>
    <w:rsid w:val="00B21E22"/>
    <w:rsid w:val="00B5075A"/>
    <w:rsid w:val="00C475E0"/>
    <w:rsid w:val="00C74A6D"/>
    <w:rsid w:val="00C831A0"/>
    <w:rsid w:val="00D02202"/>
    <w:rsid w:val="00D52EBE"/>
    <w:rsid w:val="00DA53E9"/>
    <w:rsid w:val="00DD1EFB"/>
    <w:rsid w:val="00E060E9"/>
    <w:rsid w:val="00E56E33"/>
    <w:rsid w:val="00EA1EC2"/>
    <w:rsid w:val="00ED0CE4"/>
    <w:rsid w:val="00F60913"/>
    <w:rsid w:val="00FC4ED4"/>
    <w:rsid w:val="00FD2CB6"/>
    <w:rsid w:val="00FD7A85"/>
    <w:rsid w:val="00FE711F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DF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5075A"/>
    <w:pPr>
      <w:spacing w:after="0" w:line="276" w:lineRule="auto"/>
    </w:pPr>
    <w:rPr>
      <w:rFonts w:ascii="Arial" w:eastAsia="Arial" w:hAnsi="Arial" w:cs="Arial"/>
      <w:lang w:val="en"/>
    </w:rPr>
  </w:style>
  <w:style w:type="paragraph" w:styleId="Nessunaspaziatura">
    <w:name w:val="No Spacing"/>
    <w:uiPriority w:val="1"/>
    <w:qFormat/>
    <w:rsid w:val="00AE6C76"/>
    <w:pPr>
      <w:spacing w:after="0" w:line="240" w:lineRule="auto"/>
    </w:pPr>
    <w:rPr>
      <w:color w:val="000099"/>
      <w:shd w:val="clear" w:color="auto" w:fill="EEEEEE"/>
    </w:rPr>
  </w:style>
  <w:style w:type="paragraph" w:customStyle="1" w:styleId="Normale2">
    <w:name w:val="Normale2"/>
    <w:rsid w:val="00907FE4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1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1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5075A"/>
    <w:pPr>
      <w:spacing w:after="0" w:line="276" w:lineRule="auto"/>
    </w:pPr>
    <w:rPr>
      <w:rFonts w:ascii="Arial" w:eastAsia="Arial" w:hAnsi="Arial" w:cs="Arial"/>
      <w:lang w:val="en"/>
    </w:rPr>
  </w:style>
  <w:style w:type="paragraph" w:styleId="Nessunaspaziatura">
    <w:name w:val="No Spacing"/>
    <w:uiPriority w:val="1"/>
    <w:qFormat/>
    <w:rsid w:val="00AE6C76"/>
    <w:pPr>
      <w:spacing w:after="0" w:line="240" w:lineRule="auto"/>
    </w:pPr>
    <w:rPr>
      <w:color w:val="000099"/>
      <w:shd w:val="clear" w:color="auto" w:fill="EEEEEE"/>
    </w:rPr>
  </w:style>
  <w:style w:type="paragraph" w:customStyle="1" w:styleId="Normale2">
    <w:name w:val="Normale2"/>
    <w:rsid w:val="00907FE4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1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1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m.deintrona@gmail.com</dc:creator>
  <cp:keywords/>
  <dc:description/>
  <cp:lastModifiedBy>Matilde</cp:lastModifiedBy>
  <cp:revision>4</cp:revision>
  <dcterms:created xsi:type="dcterms:W3CDTF">2021-09-16T14:55:00Z</dcterms:created>
  <dcterms:modified xsi:type="dcterms:W3CDTF">2021-09-16T16:25:00Z</dcterms:modified>
</cp:coreProperties>
</file>